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B0631C">
        <w:trPr>
          <w:trHeight w:hRule="exact" w:val="1998"/>
        </w:trPr>
        <w:tc>
          <w:tcPr>
            <w:tcW w:w="143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710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851" w:type="dxa"/>
          </w:tcPr>
          <w:p w:rsidR="00B0631C" w:rsidRDefault="00B0631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B0631C" w:rsidRDefault="00B0631C">
            <w:pPr>
              <w:spacing w:after="0" w:line="240" w:lineRule="auto"/>
              <w:jc w:val="both"/>
            </w:pPr>
          </w:p>
          <w:p w:rsidR="00B0631C" w:rsidRDefault="000E35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0631C">
        <w:trPr>
          <w:trHeight w:hRule="exact" w:val="138"/>
        </w:trPr>
        <w:tc>
          <w:tcPr>
            <w:tcW w:w="143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710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851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1277" w:type="dxa"/>
          </w:tcPr>
          <w:p w:rsidR="00B0631C" w:rsidRDefault="00B0631C"/>
        </w:tc>
        <w:tc>
          <w:tcPr>
            <w:tcW w:w="993" w:type="dxa"/>
          </w:tcPr>
          <w:p w:rsidR="00B0631C" w:rsidRDefault="00B0631C"/>
        </w:tc>
        <w:tc>
          <w:tcPr>
            <w:tcW w:w="2836" w:type="dxa"/>
          </w:tcPr>
          <w:p w:rsidR="00B0631C" w:rsidRDefault="00B0631C"/>
        </w:tc>
      </w:tr>
      <w:tr w:rsidR="00B0631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631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B0631C">
        <w:trPr>
          <w:trHeight w:hRule="exact" w:val="277"/>
        </w:trPr>
        <w:tc>
          <w:tcPr>
            <w:tcW w:w="143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710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851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1277" w:type="dxa"/>
          </w:tcPr>
          <w:p w:rsidR="00B0631C" w:rsidRDefault="00B0631C"/>
        </w:tc>
        <w:tc>
          <w:tcPr>
            <w:tcW w:w="993" w:type="dxa"/>
          </w:tcPr>
          <w:p w:rsidR="00B0631C" w:rsidRDefault="00B0631C"/>
        </w:tc>
        <w:tc>
          <w:tcPr>
            <w:tcW w:w="2836" w:type="dxa"/>
          </w:tcPr>
          <w:p w:rsidR="00B0631C" w:rsidRDefault="00B0631C"/>
        </w:tc>
      </w:tr>
      <w:tr w:rsidR="00B0631C">
        <w:trPr>
          <w:trHeight w:hRule="exact" w:val="277"/>
        </w:trPr>
        <w:tc>
          <w:tcPr>
            <w:tcW w:w="143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710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851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1277" w:type="dxa"/>
          </w:tcPr>
          <w:p w:rsidR="00B0631C" w:rsidRDefault="00B063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631C">
        <w:trPr>
          <w:trHeight w:hRule="exact" w:val="972"/>
        </w:trPr>
        <w:tc>
          <w:tcPr>
            <w:tcW w:w="143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710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851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1277" w:type="dxa"/>
          </w:tcPr>
          <w:p w:rsidR="00B0631C" w:rsidRDefault="00B063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0631C" w:rsidRDefault="00B06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0631C">
        <w:trPr>
          <w:trHeight w:hRule="exact" w:val="277"/>
        </w:trPr>
        <w:tc>
          <w:tcPr>
            <w:tcW w:w="143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710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851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1277" w:type="dxa"/>
          </w:tcPr>
          <w:p w:rsidR="00B0631C" w:rsidRDefault="00B063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0631C">
        <w:trPr>
          <w:trHeight w:hRule="exact" w:val="277"/>
        </w:trPr>
        <w:tc>
          <w:tcPr>
            <w:tcW w:w="143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710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851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1277" w:type="dxa"/>
          </w:tcPr>
          <w:p w:rsidR="00B0631C" w:rsidRDefault="00B0631C"/>
        </w:tc>
        <w:tc>
          <w:tcPr>
            <w:tcW w:w="993" w:type="dxa"/>
          </w:tcPr>
          <w:p w:rsidR="00B0631C" w:rsidRDefault="00B0631C"/>
        </w:tc>
        <w:tc>
          <w:tcPr>
            <w:tcW w:w="2836" w:type="dxa"/>
          </w:tcPr>
          <w:p w:rsidR="00B0631C" w:rsidRDefault="00B0631C"/>
        </w:tc>
      </w:tr>
      <w:tr w:rsidR="00B0631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631C">
        <w:trPr>
          <w:trHeight w:hRule="exact" w:val="1856"/>
        </w:trPr>
        <w:tc>
          <w:tcPr>
            <w:tcW w:w="143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710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 рисками при реализации проекта государственно-частного партнерства</w:t>
            </w:r>
          </w:p>
          <w:p w:rsidR="00B0631C" w:rsidRDefault="000E35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B0631C" w:rsidRDefault="00B0631C"/>
        </w:tc>
      </w:tr>
      <w:tr w:rsidR="00B0631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0631C">
        <w:trPr>
          <w:trHeight w:hRule="exact" w:val="1125"/>
        </w:trPr>
        <w:tc>
          <w:tcPr>
            <w:tcW w:w="143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631C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B0631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1277" w:type="dxa"/>
          </w:tcPr>
          <w:p w:rsidR="00B0631C" w:rsidRDefault="00B0631C"/>
        </w:tc>
        <w:tc>
          <w:tcPr>
            <w:tcW w:w="993" w:type="dxa"/>
          </w:tcPr>
          <w:p w:rsidR="00B0631C" w:rsidRDefault="00B0631C"/>
        </w:tc>
        <w:tc>
          <w:tcPr>
            <w:tcW w:w="2836" w:type="dxa"/>
          </w:tcPr>
          <w:p w:rsidR="00B0631C" w:rsidRDefault="00B0631C"/>
        </w:tc>
      </w:tr>
      <w:tr w:rsidR="00B0631C">
        <w:trPr>
          <w:trHeight w:hRule="exact" w:val="155"/>
        </w:trPr>
        <w:tc>
          <w:tcPr>
            <w:tcW w:w="143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710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851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1277" w:type="dxa"/>
          </w:tcPr>
          <w:p w:rsidR="00B0631C" w:rsidRDefault="00B0631C"/>
        </w:tc>
        <w:tc>
          <w:tcPr>
            <w:tcW w:w="993" w:type="dxa"/>
          </w:tcPr>
          <w:p w:rsidR="00B0631C" w:rsidRDefault="00B0631C"/>
        </w:tc>
        <w:tc>
          <w:tcPr>
            <w:tcW w:w="2836" w:type="dxa"/>
          </w:tcPr>
          <w:p w:rsidR="00B0631C" w:rsidRDefault="00B0631C"/>
        </w:tc>
      </w:tr>
      <w:tr w:rsidR="00B063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063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B0631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631C" w:rsidRDefault="00B0631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/>
        </w:tc>
      </w:tr>
      <w:tr w:rsidR="00B063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B0631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631C" w:rsidRDefault="00B0631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/>
        </w:tc>
      </w:tr>
      <w:tr w:rsidR="00B0631C">
        <w:trPr>
          <w:trHeight w:hRule="exact" w:val="124"/>
        </w:trPr>
        <w:tc>
          <w:tcPr>
            <w:tcW w:w="143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710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851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1277" w:type="dxa"/>
          </w:tcPr>
          <w:p w:rsidR="00B0631C" w:rsidRDefault="00B0631C"/>
        </w:tc>
        <w:tc>
          <w:tcPr>
            <w:tcW w:w="993" w:type="dxa"/>
          </w:tcPr>
          <w:p w:rsidR="00B0631C" w:rsidRDefault="00B0631C"/>
        </w:tc>
        <w:tc>
          <w:tcPr>
            <w:tcW w:w="2836" w:type="dxa"/>
          </w:tcPr>
          <w:p w:rsidR="00B0631C" w:rsidRDefault="00B0631C"/>
        </w:tc>
      </w:tr>
      <w:tr w:rsidR="00B0631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B0631C">
        <w:trPr>
          <w:trHeight w:hRule="exact" w:val="848"/>
        </w:trPr>
        <w:tc>
          <w:tcPr>
            <w:tcW w:w="143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710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851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/>
        </w:tc>
      </w:tr>
      <w:tr w:rsidR="00B0631C">
        <w:trPr>
          <w:trHeight w:hRule="exact" w:val="922"/>
        </w:trPr>
        <w:tc>
          <w:tcPr>
            <w:tcW w:w="143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710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1419" w:type="dxa"/>
          </w:tcPr>
          <w:p w:rsidR="00B0631C" w:rsidRDefault="00B0631C"/>
        </w:tc>
        <w:tc>
          <w:tcPr>
            <w:tcW w:w="851" w:type="dxa"/>
          </w:tcPr>
          <w:p w:rsidR="00B0631C" w:rsidRDefault="00B0631C"/>
        </w:tc>
        <w:tc>
          <w:tcPr>
            <w:tcW w:w="285" w:type="dxa"/>
          </w:tcPr>
          <w:p w:rsidR="00B0631C" w:rsidRDefault="00B0631C"/>
        </w:tc>
        <w:tc>
          <w:tcPr>
            <w:tcW w:w="1277" w:type="dxa"/>
          </w:tcPr>
          <w:p w:rsidR="00B0631C" w:rsidRDefault="00B0631C"/>
        </w:tc>
        <w:tc>
          <w:tcPr>
            <w:tcW w:w="993" w:type="dxa"/>
          </w:tcPr>
          <w:p w:rsidR="00B0631C" w:rsidRDefault="00B0631C"/>
        </w:tc>
        <w:tc>
          <w:tcPr>
            <w:tcW w:w="2836" w:type="dxa"/>
          </w:tcPr>
          <w:p w:rsidR="00B0631C" w:rsidRDefault="00B0631C"/>
        </w:tc>
      </w:tr>
      <w:tr w:rsidR="00B0631C">
        <w:trPr>
          <w:trHeight w:hRule="exact" w:val="277"/>
        </w:trPr>
        <w:tc>
          <w:tcPr>
            <w:tcW w:w="143" w:type="dxa"/>
          </w:tcPr>
          <w:p w:rsidR="00B0631C" w:rsidRDefault="00B0631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631C">
        <w:trPr>
          <w:trHeight w:hRule="exact" w:val="138"/>
        </w:trPr>
        <w:tc>
          <w:tcPr>
            <w:tcW w:w="143" w:type="dxa"/>
          </w:tcPr>
          <w:p w:rsidR="00B0631C" w:rsidRDefault="00B0631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/>
        </w:tc>
      </w:tr>
      <w:tr w:rsidR="00B0631C">
        <w:trPr>
          <w:trHeight w:hRule="exact" w:val="1666"/>
        </w:trPr>
        <w:tc>
          <w:tcPr>
            <w:tcW w:w="143" w:type="dxa"/>
          </w:tcPr>
          <w:p w:rsidR="00B0631C" w:rsidRDefault="00B0631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B0631C" w:rsidRDefault="00B06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0631C" w:rsidRDefault="00B06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0631C" w:rsidRDefault="000E35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63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0631C" w:rsidRDefault="00B0631C">
            <w:pPr>
              <w:spacing w:after="0" w:line="240" w:lineRule="auto"/>
              <w:rPr>
                <w:sz w:val="24"/>
                <w:szCs w:val="24"/>
              </w:rPr>
            </w:pP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 В/</w:t>
            </w:r>
          </w:p>
          <w:p w:rsidR="00B0631C" w:rsidRDefault="00B0631C">
            <w:pPr>
              <w:spacing w:after="0" w:line="240" w:lineRule="auto"/>
              <w:rPr>
                <w:sz w:val="24"/>
                <w:szCs w:val="24"/>
              </w:rPr>
            </w:pP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063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B0631C" w:rsidRDefault="000E35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3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631C">
        <w:trPr>
          <w:trHeight w:hRule="exact" w:val="555"/>
        </w:trPr>
        <w:tc>
          <w:tcPr>
            <w:tcW w:w="9640" w:type="dxa"/>
          </w:tcPr>
          <w:p w:rsidR="00B0631C" w:rsidRDefault="00B0631C"/>
        </w:tc>
      </w:tr>
      <w:tr w:rsidR="00B063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631C" w:rsidRDefault="000E35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3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63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«Управление рисками при реализации проекта государственно-частного партнерства» в течение 2022/2023 учебного года: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в</w:t>
            </w:r>
          </w:p>
        </w:tc>
      </w:tr>
    </w:tbl>
    <w:p w:rsidR="00B0631C" w:rsidRDefault="000E35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3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0631C">
        <w:trPr>
          <w:trHeight w:hRule="exact" w:val="138"/>
        </w:trPr>
        <w:tc>
          <w:tcPr>
            <w:tcW w:w="9640" w:type="dxa"/>
          </w:tcPr>
          <w:p w:rsidR="00B0631C" w:rsidRDefault="00B0631C"/>
        </w:tc>
      </w:tr>
      <w:tr w:rsidR="00B0631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К.М.04.03 «Управление  рисками при реализац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 проекта государственно-частного партнерства».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631C">
        <w:trPr>
          <w:trHeight w:hRule="exact" w:val="138"/>
        </w:trPr>
        <w:tc>
          <w:tcPr>
            <w:tcW w:w="9640" w:type="dxa"/>
          </w:tcPr>
          <w:p w:rsidR="00B0631C" w:rsidRDefault="00B0631C"/>
        </w:tc>
      </w:tr>
      <w:tr w:rsidR="00B0631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«Управление  рисками при реализации проекта государственно-частного партнерства» направлен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63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</w:tr>
      <w:tr w:rsidR="00B063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>
            <w:pPr>
              <w:spacing w:after="0" w:line="240" w:lineRule="auto"/>
              <w:rPr>
                <w:sz w:val="24"/>
                <w:szCs w:val="24"/>
              </w:rPr>
            </w:pP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63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теорию управления рисками при реализации проекта государственно- частного партнерства</w:t>
            </w:r>
          </w:p>
        </w:tc>
      </w:tr>
      <w:tr w:rsidR="00B063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знать  методы управление рисками проекта государственно-частного партнерства</w:t>
            </w:r>
          </w:p>
        </w:tc>
      </w:tr>
      <w:tr w:rsidR="00B063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знать  системный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теорию принятия решений, технологические риски и технические нормативы, основные методы и технологии анализа информационного поля</w:t>
            </w:r>
          </w:p>
        </w:tc>
      </w:tr>
      <w:tr w:rsidR="00B063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анализировать эффективность работы команды проекта государственно- частного партнерства</w:t>
            </w:r>
          </w:p>
        </w:tc>
      </w:tr>
      <w:tr w:rsidR="00B063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ПК-4.18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документы, отчеты по проекту государственно-частного партнерства, разрабатывать матрицу рисков проекта государственно-частного партнерства, мероприятия по управлению рисками проекта государственно-частного партнерства</w:t>
            </w:r>
          </w:p>
        </w:tc>
      </w:tr>
      <w:tr w:rsidR="00B063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ПК-4.20 уметь управлять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рисками проекта государственно-частного партнерства, системой внедрения изменений</w:t>
            </w:r>
          </w:p>
        </w:tc>
      </w:tr>
      <w:tr w:rsidR="00B063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ПК-4.27 уметь выявлять и оценивать риски проекта государственно-частного партнерства</w:t>
            </w:r>
          </w:p>
        </w:tc>
      </w:tr>
      <w:tr w:rsidR="00B063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ПК-4.46 владеть навыками управления рисками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 на всех этапах жизненного цикла проекта, матрицы рисков проекта государственно-частного партнерства и перечня мероприятий по управлению рисками проекта государственно-частного партнерства</w:t>
            </w:r>
          </w:p>
        </w:tc>
      </w:tr>
      <w:tr w:rsidR="00B0631C">
        <w:trPr>
          <w:trHeight w:hRule="exact" w:val="277"/>
        </w:trPr>
        <w:tc>
          <w:tcPr>
            <w:tcW w:w="9640" w:type="dxa"/>
          </w:tcPr>
          <w:p w:rsidR="00B0631C" w:rsidRDefault="00B0631C"/>
        </w:tc>
      </w:tr>
      <w:tr w:rsidR="00B063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 управлять проектом на всех этапах его жизненного цикла</w:t>
            </w:r>
          </w:p>
        </w:tc>
      </w:tr>
      <w:tr w:rsidR="00B063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>
            <w:pPr>
              <w:spacing w:after="0" w:line="240" w:lineRule="auto"/>
              <w:rPr>
                <w:sz w:val="24"/>
                <w:szCs w:val="24"/>
              </w:rPr>
            </w:pP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63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этапы жизненного цикла проекта</w:t>
            </w:r>
          </w:p>
        </w:tc>
      </w:tr>
      <w:tr w:rsidR="00B063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методы управления и оценки эффективности проекта</w:t>
            </w:r>
          </w:p>
        </w:tc>
      </w:tr>
      <w:tr w:rsidR="00B0631C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формулировать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проблемы проектную задачу  и</w:t>
            </w:r>
          </w:p>
        </w:tc>
      </w:tr>
    </w:tbl>
    <w:p w:rsidR="00B0631C" w:rsidRDefault="000E35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0631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 ее решения через реализацию проектного управления</w:t>
            </w:r>
          </w:p>
        </w:tc>
      </w:tr>
      <w:tr w:rsidR="00B063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разрабатывать концепцию проекта в рамках обозначенной проблемы: формулировать цель, задачи, обосновывать актуальность,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значимость, ожидаемые результаты и возможные сферы их применения</w:t>
            </w:r>
          </w:p>
        </w:tc>
      </w:tr>
      <w:tr w:rsidR="00B063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B063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B0631C">
        <w:trPr>
          <w:trHeight w:hRule="exact" w:val="416"/>
        </w:trPr>
        <w:tc>
          <w:tcPr>
            <w:tcW w:w="3970" w:type="dxa"/>
          </w:tcPr>
          <w:p w:rsidR="00B0631C" w:rsidRDefault="00B0631C"/>
        </w:tc>
        <w:tc>
          <w:tcPr>
            <w:tcW w:w="3828" w:type="dxa"/>
          </w:tcPr>
          <w:p w:rsidR="00B0631C" w:rsidRDefault="00B0631C"/>
        </w:tc>
        <w:tc>
          <w:tcPr>
            <w:tcW w:w="852" w:type="dxa"/>
          </w:tcPr>
          <w:p w:rsidR="00B0631C" w:rsidRDefault="00B0631C"/>
        </w:tc>
        <w:tc>
          <w:tcPr>
            <w:tcW w:w="993" w:type="dxa"/>
          </w:tcPr>
          <w:p w:rsidR="00B0631C" w:rsidRDefault="00B0631C"/>
        </w:tc>
      </w:tr>
      <w:tr w:rsidR="00B0631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 образовательной программы</w:t>
            </w:r>
          </w:p>
        </w:tc>
      </w:tr>
      <w:tr w:rsidR="00B0631C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К.М.04.03 «Управление  рисками при реализации проекта государственно- частного партнерства» относится к обязательной части, является дисциплиной Блока Б1. «Дисциплины (модули)». Модуль "Управление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реализации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B0631C">
        <w:trPr>
          <w:trHeight w:hRule="exact" w:val="138"/>
        </w:trPr>
        <w:tc>
          <w:tcPr>
            <w:tcW w:w="3970" w:type="dxa"/>
          </w:tcPr>
          <w:p w:rsidR="00B0631C" w:rsidRDefault="00B0631C"/>
        </w:tc>
        <w:tc>
          <w:tcPr>
            <w:tcW w:w="3828" w:type="dxa"/>
          </w:tcPr>
          <w:p w:rsidR="00B0631C" w:rsidRDefault="00B0631C"/>
        </w:tc>
        <w:tc>
          <w:tcPr>
            <w:tcW w:w="852" w:type="dxa"/>
          </w:tcPr>
          <w:p w:rsidR="00B0631C" w:rsidRDefault="00B0631C"/>
        </w:tc>
        <w:tc>
          <w:tcPr>
            <w:tcW w:w="993" w:type="dxa"/>
          </w:tcPr>
          <w:p w:rsidR="00B0631C" w:rsidRDefault="00B0631C"/>
        </w:tc>
      </w:tr>
      <w:tr w:rsidR="00B0631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0631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31C" w:rsidRDefault="00B0631C"/>
        </w:tc>
      </w:tr>
      <w:tr w:rsidR="00B063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31C" w:rsidRDefault="00B0631C"/>
        </w:tc>
      </w:tr>
      <w:tr w:rsidR="00B0631C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31C" w:rsidRDefault="000E35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Контрольно-надзорная деятельность в государственном управлении</w:t>
            </w:r>
          </w:p>
          <w:p w:rsidR="00B0631C" w:rsidRDefault="000E35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и контроль исполнения проектов государственно-частного партнерства</w:t>
            </w:r>
          </w:p>
          <w:p w:rsidR="00B0631C" w:rsidRDefault="000E35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Межкультурное взаимодействие в современном обществе</w:t>
            </w:r>
          </w:p>
          <w:p w:rsidR="00B0631C" w:rsidRDefault="000E35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Нормативно-правовая база сферы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государственно-частного партнерства</w:t>
            </w:r>
          </w:p>
          <w:p w:rsidR="00B0631C" w:rsidRDefault="000E35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B0631C" w:rsidRDefault="000E35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и экономическая  политика</w:t>
            </w:r>
          </w:p>
          <w:p w:rsidR="00B0631C" w:rsidRDefault="000E35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Механизмы  государственно-частного партнерства на российском </w:t>
            </w:r>
            <w:r>
              <w:rPr>
                <w:rFonts w:ascii="Times New Roman" w:hAnsi="Times New Roman" w:cs="Times New Roman"/>
                <w:color w:val="000000"/>
              </w:rPr>
              <w:t>и зарубежном рынках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31C" w:rsidRDefault="000E35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Контрольно-надзорная деятельность в государственном управлении</w:t>
            </w:r>
          </w:p>
          <w:p w:rsidR="00B0631C" w:rsidRDefault="000E35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и контроль исполнения проектов государственно-частного партнерства</w:t>
            </w:r>
          </w:p>
          <w:p w:rsidR="00B0631C" w:rsidRDefault="000E35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Профессиональные коммуникации при реализации проектов государственно-частного партнерства</w:t>
            </w:r>
          </w:p>
          <w:p w:rsidR="00B0631C" w:rsidRDefault="000E35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</w:t>
            </w:r>
            <w:r>
              <w:rPr>
                <w:rFonts w:ascii="Times New Roman" w:hAnsi="Times New Roman" w:cs="Times New Roman"/>
                <w:color w:val="000000"/>
              </w:rPr>
              <w:t>оринг и контроль исполнения проектов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B0631C">
        <w:trPr>
          <w:trHeight w:hRule="exact" w:val="138"/>
        </w:trPr>
        <w:tc>
          <w:tcPr>
            <w:tcW w:w="3970" w:type="dxa"/>
          </w:tcPr>
          <w:p w:rsidR="00B0631C" w:rsidRDefault="00B0631C"/>
        </w:tc>
        <w:tc>
          <w:tcPr>
            <w:tcW w:w="3828" w:type="dxa"/>
          </w:tcPr>
          <w:p w:rsidR="00B0631C" w:rsidRDefault="00B0631C"/>
        </w:tc>
        <w:tc>
          <w:tcPr>
            <w:tcW w:w="852" w:type="dxa"/>
          </w:tcPr>
          <w:p w:rsidR="00B0631C" w:rsidRDefault="00B0631C"/>
        </w:tc>
        <w:tc>
          <w:tcPr>
            <w:tcW w:w="993" w:type="dxa"/>
          </w:tcPr>
          <w:p w:rsidR="00B0631C" w:rsidRDefault="00B0631C"/>
        </w:tc>
      </w:tr>
      <w:tr w:rsidR="00B0631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B0631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631C">
        <w:trPr>
          <w:trHeight w:hRule="exact" w:val="138"/>
        </w:trPr>
        <w:tc>
          <w:tcPr>
            <w:tcW w:w="3970" w:type="dxa"/>
          </w:tcPr>
          <w:p w:rsidR="00B0631C" w:rsidRDefault="00B0631C"/>
        </w:tc>
        <w:tc>
          <w:tcPr>
            <w:tcW w:w="3828" w:type="dxa"/>
          </w:tcPr>
          <w:p w:rsidR="00B0631C" w:rsidRDefault="00B0631C"/>
        </w:tc>
        <w:tc>
          <w:tcPr>
            <w:tcW w:w="852" w:type="dxa"/>
          </w:tcPr>
          <w:p w:rsidR="00B0631C" w:rsidRDefault="00B0631C"/>
        </w:tc>
        <w:tc>
          <w:tcPr>
            <w:tcW w:w="993" w:type="dxa"/>
          </w:tcPr>
          <w:p w:rsidR="00B0631C" w:rsidRDefault="00B0631C"/>
        </w:tc>
      </w:tr>
      <w:tr w:rsidR="00B063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3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3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3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3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063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B0631C" w:rsidRDefault="000E35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063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B0631C">
        <w:trPr>
          <w:trHeight w:hRule="exact" w:val="138"/>
        </w:trPr>
        <w:tc>
          <w:tcPr>
            <w:tcW w:w="5671" w:type="dxa"/>
          </w:tcPr>
          <w:p w:rsidR="00B0631C" w:rsidRDefault="00B0631C"/>
        </w:tc>
        <w:tc>
          <w:tcPr>
            <w:tcW w:w="1702" w:type="dxa"/>
          </w:tcPr>
          <w:p w:rsidR="00B0631C" w:rsidRDefault="00B0631C"/>
        </w:tc>
        <w:tc>
          <w:tcPr>
            <w:tcW w:w="426" w:type="dxa"/>
          </w:tcPr>
          <w:p w:rsidR="00B0631C" w:rsidRDefault="00B0631C"/>
        </w:tc>
        <w:tc>
          <w:tcPr>
            <w:tcW w:w="710" w:type="dxa"/>
          </w:tcPr>
          <w:p w:rsidR="00B0631C" w:rsidRDefault="00B0631C"/>
        </w:tc>
        <w:tc>
          <w:tcPr>
            <w:tcW w:w="1135" w:type="dxa"/>
          </w:tcPr>
          <w:p w:rsidR="00B0631C" w:rsidRDefault="00B0631C"/>
        </w:tc>
      </w:tr>
      <w:tr w:rsidR="00B0631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631C" w:rsidRDefault="00B06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B0631C">
        <w:trPr>
          <w:trHeight w:hRule="exact" w:val="416"/>
        </w:trPr>
        <w:tc>
          <w:tcPr>
            <w:tcW w:w="5671" w:type="dxa"/>
          </w:tcPr>
          <w:p w:rsidR="00B0631C" w:rsidRDefault="00B0631C"/>
        </w:tc>
        <w:tc>
          <w:tcPr>
            <w:tcW w:w="1702" w:type="dxa"/>
          </w:tcPr>
          <w:p w:rsidR="00B0631C" w:rsidRDefault="00B0631C"/>
        </w:tc>
        <w:tc>
          <w:tcPr>
            <w:tcW w:w="426" w:type="dxa"/>
          </w:tcPr>
          <w:p w:rsidR="00B0631C" w:rsidRDefault="00B0631C"/>
        </w:tc>
        <w:tc>
          <w:tcPr>
            <w:tcW w:w="710" w:type="dxa"/>
          </w:tcPr>
          <w:p w:rsidR="00B0631C" w:rsidRDefault="00B0631C"/>
        </w:tc>
        <w:tc>
          <w:tcPr>
            <w:tcW w:w="1135" w:type="dxa"/>
          </w:tcPr>
          <w:p w:rsidR="00B0631C" w:rsidRDefault="00B0631C"/>
        </w:tc>
      </w:tr>
      <w:tr w:rsidR="00B063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63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31C" w:rsidRDefault="00B063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31C" w:rsidRDefault="00B063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31C" w:rsidRDefault="00B063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31C" w:rsidRDefault="00B0631C"/>
        </w:tc>
      </w:tr>
      <w:tr w:rsidR="00B0631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Многообразие механизмов, моделей и форм государственно-частного партнерства и специфика их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3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Институты содействия ГЧП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3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Формирование институциональной среды для развития ГЧП. Инструменты государственно- частного партнерства в инновационной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3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Управление рисками при реализации проектов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63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Инструменты управления рисками в проектах 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63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Формы государственной поддержки партнерских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31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 Многообразие механизмов,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 и форм государственно-частного партнерства и специфика их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3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Институты содействия ГЧП в региональном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3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Формирование институциональной среды для развития ГЧП. Инструменты государственно-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частного партнерства в инновационной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3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Управление рисками при реализации проектов 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63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Инструменты управления рисками в проектах 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63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государственной поддержки партнерских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3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063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063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3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0631C">
        <w:trPr>
          <w:trHeight w:hRule="exact" w:val="193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0631C" w:rsidRDefault="000E35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B0631C" w:rsidRDefault="000E35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31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пунктов 16, 38 Порядка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ативным актом образовательной организации).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заявления обуча-ющегося).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лиц, обучавшихся по не имеющей государственной аккредитации образовательной программе: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B0631C" w:rsidRDefault="000E35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31C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 локальным нормативным актом образовательной организации.</w:t>
            </w:r>
          </w:p>
        </w:tc>
      </w:tr>
      <w:tr w:rsidR="00B063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>
            <w:pPr>
              <w:spacing w:after="0" w:line="240" w:lineRule="auto"/>
              <w:rPr>
                <w:sz w:val="24"/>
                <w:szCs w:val="24"/>
              </w:rPr>
            </w:pP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63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631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Многообразие механизмов, моделей и форм государственно-частного партнерства и специфика их реализации</w:t>
            </w:r>
          </w:p>
        </w:tc>
      </w:tr>
      <w:tr w:rsidR="00B0631C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/>
        </w:tc>
      </w:tr>
      <w:tr w:rsidR="00B063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обязательные признаки и организационно-правовые формы ГЧП в России. Обязательные признаки ГЧП. Организационно-правовые формы ГЧП. Классификационные основания определения форм ГЧП. Различные уровни ответственности и распределение рисков государственных и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стных структур. Механизмы ГЧП: типовые специализированные контракты</w:t>
            </w:r>
          </w:p>
        </w:tc>
      </w:tr>
      <w:tr w:rsidR="00B063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Институты содействия ГЧП в региональном развитии</w:t>
            </w:r>
          </w:p>
        </w:tc>
      </w:tr>
      <w:tr w:rsidR="00B063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государственно-частного партнерства как фактор развития социальной инфраструктуры регионов России.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институтов развития в реализации проектов государственно-частного партнерства. Институты развития – специализированные государственные (квазигосударственные) корпорации (компании). Участие Инвестиционного Фонда в софинансировании проектов. Внешэкономбанк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специальный орган в России, институт развития, принимающим участие в реализации государственно-частного партнерства.</w:t>
            </w:r>
          </w:p>
        </w:tc>
      </w:tr>
      <w:tr w:rsidR="00B063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Формирование институциональной среды для развития ГЧП. Инструменты государственно-частного партнерства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инновационной сфере.</w:t>
            </w:r>
          </w:p>
        </w:tc>
      </w:tr>
      <w:tr w:rsidR="00B063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Инвестиционного Фонда в софинансировании проектов. Роль Внешэкономбанка в реализации проектов ГЧП, развитие новых институтов регулирования деятельности в реализации ГЧП в российских регионах (Центра ГЧП Внешэкономбанка, регион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центров ГЧП в составе региональных органов власти, фонд поддержки (развития) инфраструктурных проектов). Регламентация проведения конкурсов на право заключения соглашения об осуществлении деятельности на основе государственно-частного партнерства.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роектное финансирование и инвестиционный анализ проектов государственно-частного партнерства. Состав сделок, необходимых для привлечения проектного финансирования. Требования к проработке рыночных рисков проекта.</w:t>
            </w:r>
          </w:p>
        </w:tc>
      </w:tr>
      <w:tr w:rsidR="00B063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Управление рисками при реализации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проектов государственно-частного партнерства</w:t>
            </w:r>
          </w:p>
        </w:tc>
      </w:tr>
      <w:tr w:rsidR="00B063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Важность учета различного рода рисков. Способы снижения рисков и участием правительства. Роль государства в управлении рисками ГЧП. Участие государства в решении проблем частного сектора по снижению рисков, вкл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ючая преодоление бюрократических процедур, изменения основных положений договоров и соглашений. Государственные гарантии и (vs) стимулы к эффективному функционированию частного сектора.</w:t>
            </w:r>
          </w:p>
        </w:tc>
      </w:tr>
      <w:tr w:rsidR="00B063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Инструменты управления рисками в проектах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B0631C">
        <w:trPr>
          <w:trHeight w:hRule="exact" w:val="30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рисков. Трансфер рисков. Интересы сторон. Опасности и их преодоление. Санкции. Страхование рисков. Инструменты управления рисками в проектах государственно-частного партнерства. Санкции. Страхование рисков.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струменты управления рисками в проектах государственно-частного партнерства. Понятие риска. Основные категории рисков. Риски в теории проектного финансирования. Политические риски. Институциональная нестабильность. Риски изменения правил регулирования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частного партнера, общих и специальных нормативных правовых актов. Обстоятельства непреодолимой силы. Коммерческие (проектные) риски (строительные, эксплуатационные, сервисные, риски спроса и рентабельности). Макроэкономические (валютные и финансо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вые) риски. Риски участников проекта по схемам ГЧП: государство (муниципалитет), контрактор (концессионер), акционеры,</w:t>
            </w:r>
          </w:p>
        </w:tc>
      </w:tr>
    </w:tbl>
    <w:p w:rsidR="00B0631C" w:rsidRDefault="000E35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3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кредиторы, страховщики. Разделение рисков и взаимная ответственность партнеров. Разделение рисков как основа переговоров между публичн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и частными партнерами.</w:t>
            </w:r>
          </w:p>
        </w:tc>
      </w:tr>
      <w:tr w:rsidR="00B06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Формы государственной поддержки партнерских проектов</w:t>
            </w:r>
          </w:p>
        </w:tc>
      </w:tr>
      <w:tr w:rsidR="00B063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государственной поддержки партнерских проектов: займы, гарантии, участие в капитале, субсидии, суверенные гарантии, налоговые и таможенные льготы, защита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конкурентных проектов, дополнительные источники доходов, возврат заемных средств. Основной инструментарий финансовой поддержки проектов ГЧП. Различные формы государственной поддержки. Займы: государственные займы с льготными процентными ставк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ами; субординированные займы. Поддержка в случае материализации проектного риска. Ограничения (фиксированные суммы или проценты от общей стоимости проекта). Гарантии правительственного агента по займам компании оператора проекта ГЧП. Участие в капитале.</w:t>
            </w:r>
          </w:p>
        </w:tc>
      </w:tr>
      <w:tr w:rsidR="00B063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практических занятий</w:t>
            </w:r>
          </w:p>
        </w:tc>
      </w:tr>
      <w:tr w:rsidR="00B0631C">
        <w:trPr>
          <w:trHeight w:hRule="exact" w:val="14"/>
        </w:trPr>
        <w:tc>
          <w:tcPr>
            <w:tcW w:w="9640" w:type="dxa"/>
          </w:tcPr>
          <w:p w:rsidR="00B0631C" w:rsidRDefault="00B0631C"/>
        </w:tc>
      </w:tr>
      <w:tr w:rsidR="00B063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Многообразие механизмов, моделей и форм государственно-частного партнерства и специфика их реализации</w:t>
            </w:r>
          </w:p>
        </w:tc>
      </w:tr>
      <w:tr w:rsidR="00B063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Отдельные типы (модели) ГЧП в соответствии с основными целями (организационные модели,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финансирования, модели кооперации).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Классификационные основания определения форм ГЧП.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Многообразие форм государственно-частного партнерства.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Различные уровни ответственности и распределение рисков государственных и частных структур.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ГЧП: типовые специализированные контракты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Факторы и условия, сдерживающие развитие института ГЧП (МЧП) в России.</w:t>
            </w:r>
          </w:p>
        </w:tc>
      </w:tr>
      <w:tr w:rsidR="00B0631C">
        <w:trPr>
          <w:trHeight w:hRule="exact" w:val="14"/>
        </w:trPr>
        <w:tc>
          <w:tcPr>
            <w:tcW w:w="9640" w:type="dxa"/>
          </w:tcPr>
          <w:p w:rsidR="00B0631C" w:rsidRDefault="00B0631C"/>
        </w:tc>
      </w:tr>
      <w:tr w:rsidR="00B063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Институты содействия ГЧП в региональном развитии</w:t>
            </w:r>
          </w:p>
        </w:tc>
      </w:tr>
      <w:tr w:rsidR="00B063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Участие Инвестиционного Фонда в софинансировании проектов.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итие новых институтов регулирования деятельности в реализации ГЧП в российских регионах.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Регламентация проведения конкурсов на право заключения соглашения об осуществлении деятельности на основе государственно-частного партнерства</w:t>
            </w:r>
          </w:p>
        </w:tc>
      </w:tr>
      <w:tr w:rsidR="00B0631C">
        <w:trPr>
          <w:trHeight w:hRule="exact" w:val="14"/>
        </w:trPr>
        <w:tc>
          <w:tcPr>
            <w:tcW w:w="9640" w:type="dxa"/>
          </w:tcPr>
          <w:p w:rsidR="00B0631C" w:rsidRDefault="00B0631C"/>
        </w:tc>
      </w:tr>
      <w:tr w:rsidR="00B063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институциональной среды для развития ГЧП. Инструменты государственно-частного партнерства в инновационной сфере.</w:t>
            </w:r>
          </w:p>
        </w:tc>
      </w:tr>
      <w:tr w:rsidR="00B0631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Проектное финансирование и инвестиционный анализ проектов государственно- частного партнерства. Принципы проектного финансиров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Сравнение проектного финансирования с корпоративным финансированием и финансированием на риске бюджета.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Состав сделок, необходимых для привлечения проектного финансирования. Требования к проработке рыночных рисков проекта.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строительным, эксплуатационным, поставочным и закупочным контрактам.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Необходимость инвестиционного анализа в формировании проектного финансирования. Предмет инвестиционного анализа. Основные результаты инвестиционного анализа, используемые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проектном финансировании.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Методы обоснования и построения прогнозов сбыта и затрат. Прогнозирование капитальных затрат и учет экономических эффектов от реализации капитальных вложений.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Вопросы учета при инвестиционном анализе проекта. Расчет стоимо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финансирования. Влияние риска на стоимость привлекаемого финансирования.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Модель CAPM. Расчет WACC.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Оценка финансовой эффективности. NPV, IRR. Анализ чувствительности.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Оценка финансовой, бюджетной и экономической эффективности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примере региональных проектов, претендующих на субсидии инвестиционного фонда РФ</w:t>
            </w:r>
          </w:p>
        </w:tc>
      </w:tr>
    </w:tbl>
    <w:p w:rsidR="00B0631C" w:rsidRDefault="000E35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3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Управление рисками при реализации проектов государственно-частного партнерства</w:t>
            </w:r>
          </w:p>
        </w:tc>
      </w:tr>
      <w:tr w:rsidR="00B0631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рисков реализации инвестиционного проекта. Классификация рисков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ГЧП.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принципы разделения рисков между сторонами и участниками долгосрочного инвестиционного проекта.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Принципиальные подходы к управлению различными категориями рисков.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Механизмы согласования и процедуры изменения условий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в ходе его реализации.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Механизмы государственных и муниципальных гарантий и гарантий коммерческих банков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управления рисками реализации инвестиционного проекта.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Механизмы страхования для управления рисками реализации инвестиционного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роекта. Штрафные механизмы в проектах ГЧП.</w:t>
            </w:r>
          </w:p>
        </w:tc>
      </w:tr>
      <w:tr w:rsidR="00B0631C">
        <w:trPr>
          <w:trHeight w:hRule="exact" w:val="14"/>
        </w:trPr>
        <w:tc>
          <w:tcPr>
            <w:tcW w:w="9640" w:type="dxa"/>
          </w:tcPr>
          <w:p w:rsidR="00B0631C" w:rsidRDefault="00B0631C"/>
        </w:tc>
      </w:tr>
      <w:tr w:rsidR="00B063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Инструменты управления рисками в проектах государственно-частного партнерства</w:t>
            </w:r>
          </w:p>
        </w:tc>
      </w:tr>
      <w:tr w:rsidR="00B0631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Риски. Дефиниции. Категории рисков. Трансфер рисков. Интересы сторон. Опасности и их преодоление.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Санкции.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рисков.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Риски участников проекта по схемам ГЧП: государство (муниципалитет), контрактор (концессионер), акционеры, кредиторы, страховщики. Разделение рисков и взаимная ответственность партнеров.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Разделение рисков как основа переговоров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жду публичными и частными партнерами.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Гибкость и разнообразие моделей распределения рисков. Контрольные списки возможных рисков для проектов в различных видах экономической деятельности и отраслях народного хозяйства.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Матрица рисков как инструмент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дготовки тендерных позиций.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Переговорный процесс и распределение рисковой нагрузки и ее финансовых последствий. Механизмы снижения рисков форс-мажорных обстоятельств.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Система мониторинга рисков в период исполнения контракта.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Взаимозависимость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по разделению рисков и распределению доходов.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Динамика изменения рисков в ходе реализации проектов ГЧП. Институты страхования рисков.</w:t>
            </w:r>
          </w:p>
        </w:tc>
      </w:tr>
      <w:tr w:rsidR="00B0631C">
        <w:trPr>
          <w:trHeight w:hRule="exact" w:val="14"/>
        </w:trPr>
        <w:tc>
          <w:tcPr>
            <w:tcW w:w="9640" w:type="dxa"/>
          </w:tcPr>
          <w:p w:rsidR="00B0631C" w:rsidRDefault="00B0631C"/>
        </w:tc>
      </w:tr>
      <w:tr w:rsidR="00B06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Формы государственной поддержки партнерских проектов</w:t>
            </w:r>
          </w:p>
        </w:tc>
      </w:tr>
      <w:tr w:rsidR="00B063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Формы государственной поддержки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партнерских проектов: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Обоснование целесообразности (необходимости) государственной (муниципальной) поддержки частного партнера в процессе реализации проекта по схеме ГЧП. Финансовые инструменты (участие в капитале, займы).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и ограничения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публичных гарантий. Субсидии как средство стимулирования частного сектора к участию в проекте ГЧП.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Тарифные субсидии. Цели, условия и особенности предоставления суверенных гарантий.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Гарантии исполнения обязательств. Гарантии против неблагоприятны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государственных актов и действий.</w:t>
            </w:r>
          </w:p>
        </w:tc>
      </w:tr>
    </w:tbl>
    <w:p w:rsidR="00B0631C" w:rsidRDefault="000E35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63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>
            <w:pPr>
              <w:spacing w:after="0" w:line="240" w:lineRule="auto"/>
              <w:rPr>
                <w:sz w:val="24"/>
                <w:szCs w:val="24"/>
              </w:rPr>
            </w:pP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631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«Управление рисками при реализации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партнерства» / Сергиенко О В. – Омск: Изд-во Омской гуманитарной академии, 2022.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№ 43в.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631C">
        <w:trPr>
          <w:trHeight w:hRule="exact" w:val="138"/>
        </w:trPr>
        <w:tc>
          <w:tcPr>
            <w:tcW w:w="285" w:type="dxa"/>
          </w:tcPr>
          <w:p w:rsidR="00B0631C" w:rsidRDefault="00B0631C"/>
        </w:tc>
        <w:tc>
          <w:tcPr>
            <w:tcW w:w="9356" w:type="dxa"/>
          </w:tcPr>
          <w:p w:rsidR="00B0631C" w:rsidRDefault="00B0631C"/>
        </w:tc>
      </w:tr>
      <w:tr w:rsidR="00B063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оения дисциплины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63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https://urait.ru/bcode/454911</w:t>
              </w:r>
            </w:hyperlink>
            <w:r>
              <w:t xml:space="preserve"> </w:t>
            </w:r>
          </w:p>
        </w:tc>
      </w:tr>
      <w:tr w:rsidR="00B063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978-5-534-12206-0.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https://urait.ru/bcode/469401</w:t>
              </w:r>
            </w:hyperlink>
            <w:r>
              <w:t xml:space="preserve"> </w:t>
            </w:r>
          </w:p>
        </w:tc>
      </w:tr>
      <w:tr w:rsidR="00B063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https://urait.ru/bcode/471513</w:t>
              </w:r>
            </w:hyperlink>
            <w:r>
              <w:t xml:space="preserve"> </w:t>
            </w:r>
          </w:p>
        </w:tc>
      </w:tr>
      <w:tr w:rsidR="00B0631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Радушинская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Радушинский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https://urait.ru/bcode/475265</w:t>
              </w:r>
            </w:hyperlink>
            <w:r>
              <w:t xml:space="preserve"> </w:t>
            </w:r>
          </w:p>
        </w:tc>
      </w:tr>
      <w:tr w:rsidR="00B063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https://urait.ru/bcode/469386</w:t>
              </w:r>
            </w:hyperlink>
            <w:r>
              <w:t xml:space="preserve"> </w:t>
            </w:r>
          </w:p>
        </w:tc>
      </w:tr>
      <w:tr w:rsidR="00B0631C">
        <w:trPr>
          <w:trHeight w:hRule="exact" w:val="277"/>
        </w:trPr>
        <w:tc>
          <w:tcPr>
            <w:tcW w:w="285" w:type="dxa"/>
          </w:tcPr>
          <w:p w:rsidR="00B0631C" w:rsidRDefault="00B0631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631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978-5-534-09088-8.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https://urait.ru/bcode/455590</w:t>
              </w:r>
            </w:hyperlink>
            <w:r>
              <w:t xml:space="preserve"> </w:t>
            </w:r>
          </w:p>
        </w:tc>
      </w:tr>
      <w:tr w:rsidR="00B0631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B0631C"/>
        </w:tc>
      </w:tr>
      <w:tr w:rsidR="00B063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http://www.iprbookshop.ru/106892.html</w:t>
              </w:r>
            </w:hyperlink>
            <w:r>
              <w:t xml:space="preserve"> </w:t>
            </w:r>
          </w:p>
        </w:tc>
      </w:tr>
      <w:tr w:rsidR="00B063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978-5-907227-08-8.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http://www.iprbookshop.ru/106893.html</w:t>
              </w:r>
            </w:hyperlink>
            <w:r>
              <w:t xml:space="preserve"> </w:t>
            </w:r>
          </w:p>
        </w:tc>
      </w:tr>
      <w:tr w:rsidR="00B063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631C">
        <w:trPr>
          <w:trHeight w:hRule="exact" w:val="19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B0631C" w:rsidRDefault="000E35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31C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  Журналы Кембриджского университета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академии наук.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63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0631C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лекции, прослушанной сегодня, разобрать рассмотренные примеры;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</w:t>
            </w:r>
          </w:p>
        </w:tc>
      </w:tr>
    </w:tbl>
    <w:p w:rsidR="00B0631C" w:rsidRDefault="000E35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31C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свои действия и не забывать о содержательной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аков их смысл. При изучении теоретического материала всегда полезно выписывать формулы и графики.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после этого обдумать процесс решения и попробовать решить аналогичную задачу самостоятельно.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63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63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0631C" w:rsidRDefault="00B063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0631C" w:rsidRDefault="00B063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B063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06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06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063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6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06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человека в Российской Федерации"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06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06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06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063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ельная среда</w:t>
            </w:r>
          </w:p>
        </w:tc>
      </w:tr>
      <w:tr w:rsidR="00B0631C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ЭБС Юрайт ) и</w:t>
            </w:r>
          </w:p>
        </w:tc>
      </w:tr>
    </w:tbl>
    <w:p w:rsidR="00B0631C" w:rsidRDefault="000E35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31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 на эти работы со стороны любых участников образовательного процесса;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по дисциплине используются следующие информационные технологии: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итогов исследовательской и аналитической деятельности;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ронной почты преподавателями и обучающимися для рассылки информации, переписки и обсуждения учебных вопросов.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0631C">
        <w:trPr>
          <w:trHeight w:hRule="exact" w:val="277"/>
        </w:trPr>
        <w:tc>
          <w:tcPr>
            <w:tcW w:w="9640" w:type="dxa"/>
          </w:tcPr>
          <w:p w:rsidR="00B0631C" w:rsidRDefault="00B0631C"/>
        </w:tc>
      </w:tr>
      <w:tr w:rsidR="00B063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B0631C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</w:tc>
      </w:tr>
    </w:tbl>
    <w:p w:rsidR="00B0631C" w:rsidRDefault="000E35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31C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Для проведения групповых и индивидуальных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Электронно библиотечная система IPRbooks,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631C" w:rsidRDefault="000E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B0631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 – 10 ед. Плакаты – 70 шт. Магнитофон – 1 шт. Индивидуальные средства защиты – 4.</w:t>
            </w:r>
          </w:p>
        </w:tc>
      </w:tr>
      <w:tr w:rsidR="00B0631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преподавательский, стулья, учебно-наглядные пособия: наглядно- дидактические материалы, доска пластиковая,  видеокамера, компьютер, Линко V8.2, Операционная система Microsoft Windows XP, 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 LibreOffice Impress,  LibreOffice Draw,  LibreOffice Math,  LibreOffice Base, Линко V8.2, 1С:Предпр.8.Комплект для обучения в высших и средних учебных заведениях, NetBeans, RunaWFE, Moodle, BigBlueButton, Kaspersky Endpoint Security для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      </w:r>
          </w:p>
        </w:tc>
      </w:tr>
      <w:tr w:rsidR="00B0631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учебно-и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IPRbooks,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B0631C">
        <w:trPr>
          <w:trHeight w:hRule="exact" w:val="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Для проведения лабораторных занятий имеется: лаборатория учебных средств массовой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оснащение которой составляют: Столы, стулья Ноутбук, Операционная система Microsoft Windows XP,  Microsoft Office Professional Plus 2007,</w:t>
            </w:r>
          </w:p>
        </w:tc>
      </w:tr>
    </w:tbl>
    <w:p w:rsidR="00B0631C" w:rsidRDefault="000E35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31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31C" w:rsidRDefault="000E3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LibreOffice, Kaspersky Endpoint Security для бизнеса – Стандартный, Система контент фильтрации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етительные приборы, микшер-пульт.</w:t>
            </w:r>
          </w:p>
        </w:tc>
      </w:tr>
    </w:tbl>
    <w:p w:rsidR="00B0631C" w:rsidRDefault="00B0631C"/>
    <w:sectPr w:rsidR="00B063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3537"/>
    <w:rsid w:val="001F0BC7"/>
    <w:rsid w:val="00B0631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5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3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7526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513" TargetMode="External"/><Relationship Id="rId11" Type="http://schemas.openxmlformats.org/officeDocument/2006/relationships/hyperlink" Target="http://www.iprbookshop.ru/106893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69401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106892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54911" TargetMode="External"/><Relationship Id="rId9" Type="http://schemas.openxmlformats.org/officeDocument/2006/relationships/hyperlink" Target="https://urait.ru/bcode/45559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6938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7596</Words>
  <Characters>43301</Characters>
  <Application>Microsoft Office Word</Application>
  <DocSecurity>0</DocSecurity>
  <Lines>360</Lines>
  <Paragraphs>101</Paragraphs>
  <ScaleCrop>false</ScaleCrop>
  <Company/>
  <LinksUpToDate>false</LinksUpToDate>
  <CharactersWithSpaces>50796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2022-2023_ФГОС3++2022_Маг-ЗФО-ГМУ(ГРЭ)(22)_plx_Управление  рисками при реализации проекта государственно-частного партнерства</dc:title>
  <dc:creator>FastReport.NET</dc:creator>
  <cp:lastModifiedBy>Mark Bernstorf</cp:lastModifiedBy>
  <cp:revision>2</cp:revision>
  <dcterms:created xsi:type="dcterms:W3CDTF">2022-11-13T22:07:00Z</dcterms:created>
  <dcterms:modified xsi:type="dcterms:W3CDTF">2022-11-13T22:07:00Z</dcterms:modified>
</cp:coreProperties>
</file>